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22"/>
        </w:rPr>
        <w:t>Your super is for your retirement. Your Investment Strategy records how your SMSF invests its money and considers risk, access to cash and payments. Legal Consolidated’s package includes the Investment Strategy, adoption minutes and our Investment Statement Library — 15 supporting statements, each with an explanation page.</w:t>
      </w:r>
    </w:p>
    <w:p>
      <w:r>
        <w:rPr>
          <w:sz w:val="22"/>
        </w:rPr>
        <w:t>Complete this checklist.</w:t>
      </w:r>
    </w:p>
    <w:p>
      <w:pPr>
        <w:pStyle w:val="Heading1"/>
        <w:keepNext/>
        <w:spacing w:before="180" w:after="100" w:line="240" w:lineRule="auto"/>
        <w:shd w:fill="FFF2E4"/>
      </w:pPr>
      <w:r>
        <w:rPr>
          <w:sz w:val="22"/>
        </w:rPr>
        <w:t>Fund details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r>
              <w:rPr>
                <w:sz w:val="22"/>
              </w:rPr>
              <w:t>☐  Full name of the SMSF</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Street number and name</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Suburb or city</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State</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Postcode</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Country</w:t>
            </w:r>
          </w:p>
        </w:tc>
        <w:tc>
          <w:tcPr>
            <w:tcW w:type="dxa" w:w="5159"/>
            <w:tcMar>
              <w:top w:w="20" w:type="dxa"/>
              <w:bottom w:w="20" w:type="dxa"/>
              <w:left w:w="50" w:type="dxa"/>
              <w:right w:w="50" w:type="dxa"/>
            </w:tcMar>
            <w:vAlign w:val="center"/>
            <w:tcBorders>
              <w:bottom w:val="single" w:sz="4" w:color="AAAAAA"/>
            </w:tcBorders>
          </w:tcPr>
          <w:p>
            <w:r>
              <w:rPr>
                <w:sz w:val="22"/>
              </w:rPr>
            </w:r>
          </w:p>
        </w:tc>
      </w:tr>
    </w:tbl>
    <w:p>
      <w:pPr>
        <w:pStyle w:val="Heading1"/>
        <w:keepNext/>
        <w:spacing w:before="180" w:after="100" w:line="240" w:lineRule="auto"/>
        <w:shd w:fill="FFF2E4"/>
      </w:pPr>
      <w:r>
        <w:rPr>
          <w:sz w:val="22"/>
        </w:rPr>
        <w:t>Optional lawyer callback</w:t>
      </w:r>
    </w:p>
    <w:p>
      <w:r>
        <w:rPr>
          <w:sz w:val="22"/>
        </w:rPr>
        <w:t>Would you like a lawyer to telephone you to review and explain the legal documents? This service has an additional cost.   ☐ Yes   ☐ No</w:t>
      </w:r>
    </w:p>
    <w:p>
      <w:r>
        <w:rPr>
          <w:sz w:val="22"/>
        </w:rPr>
        <w:t>If you select Yes, provide these details: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r>
              <w:rPr>
                <w:sz w:val="22"/>
              </w:rPr>
              <w:t>☐  First name</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Middle name if any</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Last name</w:t>
            </w:r>
          </w:p>
        </w:tc>
        <w:tc>
          <w:tcPr>
            <w:tcW w:type="dxa" w:w="5159"/>
            <w:tcMar>
              <w:top w:w="20" w:type="dxa"/>
              <w:bottom w:w="20" w:type="dxa"/>
              <w:left w:w="50" w:type="dxa"/>
              <w:right w:w="50" w:type="dxa"/>
            </w:tcMar>
            <w:vAlign w:val="center"/>
            <w:tcBorders>
              <w:bottom w:val="single" w:sz="4" w:color="AAAAAA"/>
            </w:tcBorders>
          </w:tcPr>
          <w:p>
            <w:r>
              <w:rPr>
                <w:sz w:val="22"/>
              </w:rPr>
            </w:r>
          </w:p>
        </w:tc>
      </w:tr>
      <w:tr>
        <w:trPr>
          <w:trHeight w:val="360"/>
          <w:cantSplit/>
        </w:trPr>
        <w:tc>
          <w:tcPr>
            <w:tcW w:type="dxa" w:w="4932"/>
            <w:tcMar>
              <w:top w:w="20" w:type="dxa"/>
              <w:bottom w:w="20" w:type="dxa"/>
              <w:left w:w="50" w:type="dxa"/>
              <w:right w:w="50" w:type="dxa"/>
            </w:tcMar>
            <w:vAlign w:val="center"/>
          </w:tcPr>
          <w:p>
            <w:r>
              <w:rPr>
                <w:sz w:val="22"/>
              </w:rPr>
              <w:t>☐  Telephone number</w:t>
            </w:r>
          </w:p>
        </w:tc>
        <w:tc>
          <w:tcPr>
            <w:tcW w:type="dxa" w:w="5159"/>
            <w:tcMar>
              <w:top w:w="20" w:type="dxa"/>
              <w:bottom w:w="20" w:type="dxa"/>
              <w:left w:w="50" w:type="dxa"/>
              <w:right w:w="50" w:type="dxa"/>
            </w:tcMar>
            <w:vAlign w:val="center"/>
            <w:tcBorders>
              <w:bottom w:val="single" w:sz="4" w:color="AAAAAA"/>
            </w:tcBorders>
          </w:tcPr>
          <w:p>
            <w:r>
              <w:rPr>
                <w:sz w:val="22"/>
              </w:rPr>
            </w:r>
          </w:p>
        </w:tc>
      </w:tr>
    </w:tbl>
    <w:p>
      <w:pPr>
        <w:pStyle w:val="Heading1"/>
        <w:keepNext/>
        <w:spacing w:before="180" w:after="100" w:line="240" w:lineRule="auto"/>
        <w:shd w:fill="FFF2E4"/>
      </w:pPr>
      <w:r>
        <w:rPr>
          <w:sz w:val="22"/>
        </w:rPr>
        <w:t>Your Investment Strategy and supporting Library</w:t>
      </w:r>
    </w:p>
    <w:p>
      <w:r>
        <w:rPr>
          <w:sz w:val="22"/>
        </w:rPr>
        <w:t>Each year, alongside your Investment Strategy, select the Library statements relevant to your SMSF’s investments for that year. They address investments such as property, shares, crypto, gold and artwork. Keep the selected statements with your Investment Strategy and supporting records to explain your approach to your accountant and auditor.</w:t>
      </w:r>
    </w:p>
    <w:sectPr w:rsidR="00FC693F" w:rsidRPr="0006063C" w:rsidSect="00034616">
      <w:headerReference w:type="default" r:id="rId9"/>
      <w:footerReference w:type="default" r:id="rId10"/>
      <w:pgSz w:w="11906" w:h="16838"/>
      <w:pgMar w:top="2438" w:right="907" w:bottom="1020" w:left="907" w:header="68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spacing w:after="0"/>
    </w:pPr>
    <w:r>
      <w:rPr>
        <w:color w:val="666666"/>
        <w:sz w:val="16"/>
      </w:rPr>
      <w:t>SMSF Investment Strategy Checklist</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953"/>
      <w:gridCol w:w="4139"/>
    </w:tblGrid>
    <w:tr>
      <w:tc>
        <w:tcPr>
          <w:tcW w:type="dxa" w:w="5046"/>
          <w:tcMar>
            <w:top w:w="0" w:type="dxa"/>
            <w:bottom w:w="0" w:type="dxa"/>
            <w:left w:w="0" w:type="dxa"/>
            <w:right w:w="0" w:type="dxa"/>
          </w:tcMar>
          <w:vAlign w:val="center"/>
        </w:tcPr>
        <w:p>
          <w:pPr>
            <w:pStyle w:val="Title"/>
            <w:spacing w:after="0"/>
          </w:pPr>
          <w:r>
            <w:rPr>
              <w:b/>
              <w:sz w:val="36"/>
            </w:rPr>
            <w:t>SMSF Investment Strategy</w:t>
          </w:r>
          <w:r>
            <w:rPr>
              <w:b/>
              <w:sz w:val="30"/>
            </w:rPr>
            <w:br/>
            <w:t>Checklist</w:t>
          </w:r>
        </w:p>
      </w:tc>
      <w:tc>
        <w:tcPr>
          <w:tcW w:type="dxa" w:w="5046"/>
          <w:tcMar>
            <w:top w:w="0" w:type="dxa"/>
            <w:bottom w:w="0" w:type="dxa"/>
            <w:left w:w="0" w:type="dxa"/>
            <w:right w:w="0" w:type="dxa"/>
          </w:tcMar>
          <w:vAlign w:val="center"/>
        </w:tcPr>
        <w:p>
          <w:pPr>
            <w:spacing w:after="0"/>
            <w:jc w:val="right"/>
          </w:pPr>
          <w:r>
            <w:drawing>
              <wp:inline xmlns:a="http://schemas.openxmlformats.org/drawingml/2006/main" xmlns:pic="http://schemas.openxmlformats.org/drawingml/2006/picture">
                <wp:extent cx="2376000" cy="811047"/>
                <wp:docPr id="1" name="Picture 1" descr="Legal Consolidated logo - replace with your firm logo using Change Picture"/>
                <wp:cNvGraphicFramePr>
                  <a:graphicFrameLocks noChangeAspect="1"/>
                </wp:cNvGraphicFramePr>
                <a:graphic>
                  <a:graphicData uri="http://schemas.openxmlformats.org/drawingml/2006/picture">
                    <pic:pic>
                      <pic:nvPicPr>
                        <pic:cNvPr id="0" name="authentic-logo.png"/>
                        <pic:cNvPicPr/>
                      </pic:nvPicPr>
                      <pic:blipFill>
                        <a:blip r:embed="rId1"/>
                        <a:stretch>
                          <a:fillRect/>
                        </a:stretch>
                      </pic:blipFill>
                      <pic:spPr>
                        <a:xfrm>
                          <a:off x="0" y="0"/>
                          <a:ext cx="2376000" cy="811047"/>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galconsolidated.com.au/self-managed-superannuation-fund-trustee-upda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SMSF Deed Update Checklist</dc:title>
  <dc:subject/>
  <dc:creator>Legal Consolidated</dc:creator>
  <cp:keywords/>
  <dc:description>Editable checklist. Advisers, accountants and lawyers are welcome to replace the Legal Consolidated logo with their own.</dc:description>
  <cp:lastModifiedBy/>
  <cp:revision>1</cp:revision>
  <dcterms:created xsi:type="dcterms:W3CDTF">2013-12-23T23:15:00Z</dcterms:created>
  <dcterms:modified xsi:type="dcterms:W3CDTF">2013-12-23T23:15:00Z</dcterms:modified>
  <cp:category/>
</cp:coreProperties>
</file>